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9B" w:rsidRPr="001002DB" w:rsidRDefault="00294E9B" w:rsidP="00281794">
      <w:pPr>
        <w:pStyle w:val="a3"/>
        <w:snapToGrid w:val="0"/>
        <w:spacing w:beforeLines="50" w:line="360" w:lineRule="auto"/>
        <w:outlineLvl w:val="1"/>
        <w:rPr>
          <w:rFonts w:ascii="Times New Roman" w:eastAsia="仿宋_GB2312" w:hAnsi="Times New Roman"/>
          <w:b/>
          <w:color w:val="080808"/>
          <w:sz w:val="30"/>
          <w:szCs w:val="30"/>
        </w:rPr>
      </w:pPr>
      <w:bookmarkStart w:id="0" w:name="_Toc346091627"/>
      <w:r w:rsidRPr="001002DB">
        <w:rPr>
          <w:rFonts w:ascii="Times New Roman" w:eastAsia="仿宋_GB2312" w:hAnsi="Times New Roman"/>
          <w:b/>
          <w:color w:val="080808"/>
          <w:sz w:val="30"/>
          <w:szCs w:val="30"/>
        </w:rPr>
        <w:t>中国科学院</w:t>
      </w:r>
      <w:r w:rsidRPr="001002DB">
        <w:rPr>
          <w:rFonts w:ascii="Times New Roman" w:eastAsia="仿宋_GB2312" w:hAnsi="Times New Roman" w:hint="eastAsia"/>
          <w:b/>
          <w:color w:val="080808"/>
          <w:sz w:val="30"/>
          <w:szCs w:val="30"/>
        </w:rPr>
        <w:t>水库</w:t>
      </w:r>
      <w:r w:rsidRPr="001002DB">
        <w:rPr>
          <w:rFonts w:ascii="Times New Roman" w:eastAsia="仿宋_GB2312" w:hAnsi="Times New Roman"/>
          <w:b/>
          <w:color w:val="080808"/>
          <w:sz w:val="30"/>
          <w:szCs w:val="30"/>
        </w:rPr>
        <w:t>水环境重点实验室开</w:t>
      </w:r>
      <w:r w:rsidRPr="001002DB">
        <w:rPr>
          <w:rFonts w:ascii="Times New Roman" w:eastAsia="仿宋_GB2312" w:hAnsi="Times New Roman" w:hint="eastAsia"/>
          <w:b/>
          <w:color w:val="080808"/>
          <w:sz w:val="30"/>
          <w:szCs w:val="30"/>
        </w:rPr>
        <w:t>放</w:t>
      </w:r>
      <w:r w:rsidR="00A34CDE">
        <w:rPr>
          <w:rFonts w:ascii="Times New Roman" w:eastAsia="仿宋_GB2312" w:hAnsi="Times New Roman" w:hint="eastAsia"/>
          <w:b/>
          <w:color w:val="080808"/>
          <w:sz w:val="30"/>
          <w:szCs w:val="30"/>
        </w:rPr>
        <w:t>研究</w:t>
      </w:r>
      <w:r w:rsidRPr="001002DB">
        <w:rPr>
          <w:rFonts w:ascii="Times New Roman" w:eastAsia="仿宋_GB2312" w:hAnsi="Times New Roman"/>
          <w:b/>
          <w:color w:val="080808"/>
          <w:sz w:val="30"/>
          <w:szCs w:val="30"/>
        </w:rPr>
        <w:t>基金</w:t>
      </w:r>
      <w:r w:rsidR="00D50023">
        <w:rPr>
          <w:rFonts w:ascii="Times New Roman" w:eastAsia="仿宋_GB2312" w:hAnsi="Times New Roman" w:hint="eastAsia"/>
          <w:b/>
          <w:color w:val="080808"/>
          <w:sz w:val="30"/>
          <w:szCs w:val="30"/>
        </w:rPr>
        <w:t>相关管理说明</w:t>
      </w:r>
      <w:bookmarkEnd w:id="0"/>
    </w:p>
    <w:p w:rsidR="00294E9B" w:rsidRPr="001002DB" w:rsidRDefault="00D50023" w:rsidP="00294E9B">
      <w:pPr>
        <w:adjustRightInd w:val="0"/>
        <w:snapToGrid w:val="0"/>
        <w:spacing w:line="360" w:lineRule="auto"/>
        <w:ind w:firstLineChars="200" w:firstLine="562"/>
        <w:rPr>
          <w:rFonts w:eastAsia="仿宋_GB2312"/>
          <w:b/>
          <w:color w:val="080808"/>
          <w:kern w:val="0"/>
          <w:sz w:val="28"/>
          <w:szCs w:val="28"/>
          <w:lang w:val="zh-CN"/>
        </w:rPr>
      </w:pPr>
      <w:r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一</w:t>
      </w:r>
      <w:r w:rsidR="00294E9B" w:rsidRPr="001002DB"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、</w:t>
      </w:r>
      <w:r w:rsidR="00CB5252"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课题</w:t>
      </w:r>
      <w:r w:rsidR="00294E9B" w:rsidRPr="001002DB"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的实施与检查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1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、获得资助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的负责人或主要研究人员每年应按计划来实验室开展研究工作，实验室学术秘书对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进行日常管理。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2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、研究计划实施中，鼓励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组开展创新性、探索性研究工作。涉及降低预定目标、减少研究内容、中止计划实施、提前结题或延长年限等变动，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负责人须提出报告，经所在单位审查签署意见，报实验室审批。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3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、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负责人工作调动，可在原单位完成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研究，经调出、调入单位双方签署意见报实验室备案；如调入单位具备条件，也可将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转到调入单位继续研究，并经调出、调入单位双方签署意见报实验室备案。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负责人一般不得代理或更换，但遇有特殊情况离开研究岗位半年以上，所在单位应安排合适人员代理，并报实验室备案；离岗一年以上的按中止实施计划办理。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4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、软件应按一定格式模块化开发成可独立运行的软件，或在通用软件平台上开发，以便能够在本实验室环境下使用。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5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、实验室每年度对基金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的执行情况进行检查。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负责人应于每年度上半年结束时提交《</w:t>
      </w:r>
      <w:bookmarkStart w:id="1" w:name="OLE_LINK130"/>
      <w:bookmarkStart w:id="2" w:name="OLE_LINK131"/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中国科学院水库水环境重点实验室</w:t>
      </w:r>
      <w:bookmarkEnd w:id="1"/>
      <w:bookmarkEnd w:id="2"/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开放研究基金资助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年度进展报告》。不在本实验室开展研究工作的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负责人，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执行</w:t>
      </w:r>
      <w:r w:rsidR="00D50023">
        <w:rPr>
          <w:rFonts w:eastAsia="仿宋_GB2312" w:hint="eastAsia"/>
          <w:color w:val="080808"/>
          <w:kern w:val="0"/>
          <w:sz w:val="28"/>
          <w:szCs w:val="28"/>
          <w:lang w:val="zh-CN"/>
        </w:rPr>
        <w:t>期内每半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年需到本实验室来作学术报告，交流研究进展。具体时间安排以每年度所发通知为准。对不报送《中国科学院水库水环境重点实验室开放研究基金资助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年度进展报告》，或无工作</w:t>
      </w:r>
      <w:r w:rsidR="00D50023">
        <w:rPr>
          <w:rFonts w:eastAsia="仿宋_GB2312" w:hint="eastAsia"/>
          <w:color w:val="080808"/>
          <w:kern w:val="0"/>
          <w:sz w:val="28"/>
          <w:szCs w:val="28"/>
          <w:lang w:val="zh-CN"/>
        </w:rPr>
        <w:t>、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无进展，或经费使用不当的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，缓拨下期经费。逾期不纠正、补报的，中止资助。</w:t>
      </w:r>
    </w:p>
    <w:p w:rsidR="00294E9B" w:rsidRPr="001002DB" w:rsidRDefault="00D50023" w:rsidP="00294E9B">
      <w:pPr>
        <w:adjustRightInd w:val="0"/>
        <w:snapToGrid w:val="0"/>
        <w:spacing w:line="360" w:lineRule="auto"/>
        <w:ind w:firstLineChars="200" w:firstLine="562"/>
        <w:rPr>
          <w:rFonts w:eastAsia="仿宋_GB2312"/>
          <w:b/>
          <w:color w:val="080808"/>
          <w:kern w:val="0"/>
          <w:sz w:val="28"/>
          <w:szCs w:val="28"/>
          <w:lang w:val="zh-CN"/>
        </w:rPr>
      </w:pPr>
      <w:r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二</w:t>
      </w:r>
      <w:r w:rsidR="00294E9B" w:rsidRPr="001002DB"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、</w:t>
      </w:r>
      <w:r w:rsidR="00CB5252"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课题</w:t>
      </w:r>
      <w:r w:rsidR="00294E9B" w:rsidRPr="001002DB"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经费的使用与管理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lastRenderedPageBreak/>
        <w:t>1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、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经费开支的范围及比例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1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）</w:t>
      </w:r>
      <w:r w:rsidR="00F51103">
        <w:rPr>
          <w:rFonts w:eastAsia="仿宋_GB2312" w:hint="eastAsia"/>
          <w:color w:val="080808"/>
          <w:kern w:val="0"/>
          <w:sz w:val="28"/>
          <w:szCs w:val="28"/>
          <w:lang w:val="zh-CN"/>
        </w:rPr>
        <w:t xml:space="preserve"> 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基金资助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研究有关的业务费</w:t>
      </w:r>
      <w:r w:rsidR="00F51103">
        <w:rPr>
          <w:rFonts w:eastAsia="仿宋_GB2312" w:hint="eastAsia"/>
          <w:color w:val="080808"/>
          <w:kern w:val="0"/>
          <w:sz w:val="28"/>
          <w:szCs w:val="28"/>
          <w:lang w:val="zh-CN"/>
        </w:rPr>
        <w:t>不高于</w:t>
      </w:r>
      <w:r w:rsidR="00F51103">
        <w:rPr>
          <w:rFonts w:eastAsia="仿宋_GB2312" w:hint="eastAsia"/>
          <w:color w:val="080808"/>
          <w:kern w:val="0"/>
          <w:sz w:val="28"/>
          <w:szCs w:val="28"/>
          <w:lang w:val="zh-CN"/>
        </w:rPr>
        <w:t>60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%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（包括实验材料费、仪器租用费、客座人员差旅费、学术活动费、人员</w:t>
      </w:r>
      <w:r w:rsidR="00F51103">
        <w:rPr>
          <w:rFonts w:eastAsia="仿宋_GB2312" w:hint="eastAsia"/>
          <w:color w:val="080808"/>
          <w:kern w:val="0"/>
          <w:sz w:val="28"/>
          <w:szCs w:val="28"/>
          <w:lang w:val="zh-CN"/>
        </w:rPr>
        <w:t>经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费、成果发表费、资料费等）；</w:t>
      </w:r>
    </w:p>
    <w:p w:rsidR="00294E9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2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）基金资助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="00F51103">
        <w:rPr>
          <w:rFonts w:eastAsia="仿宋_GB2312" w:hint="eastAsia"/>
          <w:color w:val="080808"/>
          <w:kern w:val="0"/>
          <w:sz w:val="28"/>
          <w:szCs w:val="28"/>
          <w:lang w:val="zh-CN"/>
        </w:rPr>
        <w:t>对实验室公共实验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设备的使用与维护费</w:t>
      </w:r>
      <w:r w:rsidR="00F51103">
        <w:rPr>
          <w:rFonts w:eastAsia="仿宋_GB2312" w:hint="eastAsia"/>
          <w:color w:val="080808"/>
          <w:kern w:val="0"/>
          <w:sz w:val="28"/>
          <w:szCs w:val="28"/>
          <w:lang w:val="zh-CN"/>
        </w:rPr>
        <w:t>不</w:t>
      </w:r>
      <w:r w:rsidR="00281794">
        <w:rPr>
          <w:rFonts w:eastAsia="仿宋_GB2312" w:hint="eastAsia"/>
          <w:color w:val="080808"/>
          <w:kern w:val="0"/>
          <w:sz w:val="28"/>
          <w:szCs w:val="28"/>
          <w:lang w:val="zh-CN"/>
        </w:rPr>
        <w:t>得</w:t>
      </w:r>
      <w:r w:rsidR="00F51103">
        <w:rPr>
          <w:rFonts w:eastAsia="仿宋_GB2312" w:hint="eastAsia"/>
          <w:color w:val="080808"/>
          <w:kern w:val="0"/>
          <w:sz w:val="28"/>
          <w:szCs w:val="28"/>
          <w:lang w:val="zh-CN"/>
        </w:rPr>
        <w:t>低于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30%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（包括实验室仪器设备零配件购买、仪器设备维修费、观测实验小型设备购买、加工费等）；</w:t>
      </w:r>
    </w:p>
    <w:p w:rsidR="00F51103" w:rsidRPr="001002DB" w:rsidRDefault="00F51103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3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）其它不可预见费用不高于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1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0%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。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2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、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经费的管理</w:t>
      </w:r>
    </w:p>
    <w:p w:rsidR="00F51103" w:rsidRPr="001002DB" w:rsidRDefault="00294E9B" w:rsidP="00F51103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1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）</w:t>
      </w:r>
      <w:r w:rsidR="00F51103">
        <w:rPr>
          <w:rFonts w:eastAsia="仿宋_GB2312" w:hint="eastAsia"/>
          <w:color w:val="080808"/>
          <w:kern w:val="0"/>
          <w:sz w:val="28"/>
          <w:szCs w:val="28"/>
          <w:lang w:val="zh-CN"/>
        </w:rPr>
        <w:t>本实验室资助的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="00F51103">
        <w:rPr>
          <w:rFonts w:eastAsia="仿宋_GB2312" w:hint="eastAsia"/>
          <w:color w:val="080808"/>
          <w:kern w:val="0"/>
          <w:sz w:val="28"/>
          <w:szCs w:val="28"/>
          <w:lang w:val="zh-CN"/>
        </w:rPr>
        <w:t>经费在中国科学院重庆绿色智能技术研究院设立</w:t>
      </w:r>
      <w:r w:rsidR="00281794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="00F51103">
        <w:rPr>
          <w:rFonts w:eastAsia="仿宋_GB2312" w:hint="eastAsia"/>
          <w:color w:val="080808"/>
          <w:kern w:val="0"/>
          <w:sz w:val="28"/>
          <w:szCs w:val="28"/>
          <w:lang w:val="zh-CN"/>
        </w:rPr>
        <w:t>账号管理，</w:t>
      </w:r>
      <w:r w:rsidR="00F51103"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由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="00F51103"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负责人</w:t>
      </w:r>
      <w:r w:rsidR="00281794">
        <w:rPr>
          <w:rFonts w:eastAsia="仿宋_GB2312" w:hint="eastAsia"/>
          <w:color w:val="080808"/>
          <w:kern w:val="0"/>
          <w:sz w:val="28"/>
          <w:szCs w:val="28"/>
          <w:lang w:val="zh-CN"/>
        </w:rPr>
        <w:t>按批准预算开支</w:t>
      </w:r>
      <w:r w:rsidR="00F51103"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。</w:t>
      </w:r>
    </w:p>
    <w:p w:rsidR="00F51103" w:rsidRDefault="00F51103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2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）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="00294E9B"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经费按年度划拨。合同签订后，首次划拨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经</w:t>
      </w:r>
      <w:r w:rsidR="00294E9B"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费的</w:t>
      </w:r>
      <w:r w:rsidR="00281794">
        <w:rPr>
          <w:rFonts w:eastAsia="仿宋_GB2312" w:hint="eastAsia"/>
          <w:color w:val="080808"/>
          <w:kern w:val="0"/>
          <w:sz w:val="28"/>
          <w:szCs w:val="28"/>
          <w:lang w:val="zh-CN"/>
        </w:rPr>
        <w:t>6</w:t>
      </w:r>
      <w:r w:rsidR="00294E9B"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0%</w:t>
      </w:r>
      <w:r w:rsidR="00294E9B"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到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="00294E9B"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负责人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财务账户中</w:t>
      </w:r>
      <w:r w:rsidR="00294E9B"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；中期考核后按管理办法规定视完成情况再次划拨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经</w:t>
      </w:r>
      <w:r w:rsidR="00294E9B"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费的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 xml:space="preserve">40 </w:t>
      </w:r>
      <w:r w:rsidR="00294E9B"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%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。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2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）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设备使用与维护费，由实验室统一管理，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负责人根据研究工作需要，在额度范围内报销，由实验室主任审批结算。购买的仪器设备在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结题时，交还给实验室。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3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）基金资助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经费专款专用，可以结转到下一年度使用，但不得挪作他用，一经发现，中止资助。对按中止资助处理的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，经费全部收回，用于资助其它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。</w:t>
      </w:r>
    </w:p>
    <w:p w:rsidR="00294E9B" w:rsidRPr="001002DB" w:rsidRDefault="00D50023" w:rsidP="00294E9B">
      <w:pPr>
        <w:adjustRightInd w:val="0"/>
        <w:snapToGrid w:val="0"/>
        <w:spacing w:line="360" w:lineRule="auto"/>
        <w:ind w:firstLineChars="200" w:firstLine="562"/>
        <w:rPr>
          <w:rFonts w:eastAsia="仿宋_GB2312"/>
          <w:b/>
          <w:color w:val="080808"/>
          <w:kern w:val="0"/>
          <w:sz w:val="28"/>
          <w:szCs w:val="28"/>
          <w:lang w:val="zh-CN"/>
        </w:rPr>
      </w:pPr>
      <w:r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三</w:t>
      </w:r>
      <w:r w:rsidR="00294E9B" w:rsidRPr="001002DB"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、</w:t>
      </w:r>
      <w:r w:rsidR="00CB5252"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课题</w:t>
      </w:r>
      <w:r w:rsidR="00294E9B" w:rsidRPr="001002DB">
        <w:rPr>
          <w:rFonts w:eastAsia="仿宋_GB2312" w:hint="eastAsia"/>
          <w:b/>
          <w:color w:val="080808"/>
          <w:kern w:val="0"/>
          <w:sz w:val="28"/>
          <w:szCs w:val="28"/>
          <w:lang w:val="zh-CN"/>
        </w:rPr>
        <w:t>的成果管理及评价</w:t>
      </w:r>
    </w:p>
    <w:p w:rsidR="00294E9B" w:rsidRPr="00F51103" w:rsidRDefault="00294E9B" w:rsidP="00F51103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80808"/>
          <w:kern w:val="0"/>
          <w:sz w:val="28"/>
          <w:szCs w:val="28"/>
          <w:lang w:val="zh-CN"/>
        </w:rPr>
      </w:pPr>
      <w:r w:rsidRPr="00F51103">
        <w:rPr>
          <w:rFonts w:ascii="Times New Roman" w:eastAsia="仿宋_GB2312" w:hAnsi="Times New Roman" w:cs="Times New Roman"/>
          <w:color w:val="080808"/>
          <w:kern w:val="0"/>
          <w:sz w:val="28"/>
          <w:szCs w:val="28"/>
          <w:lang w:val="zh-CN"/>
        </w:rPr>
        <w:t>1</w:t>
      </w:r>
      <w:r w:rsidRPr="00F51103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、基金资助</w:t>
      </w:r>
      <w:r w:rsidR="00CB5252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课题</w:t>
      </w:r>
      <w:r w:rsidRPr="00F51103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的有关论文、专著、成果评议鉴定资料等，均应标注</w:t>
      </w:r>
      <w:r w:rsidRPr="00F51103">
        <w:rPr>
          <w:rFonts w:ascii="Times New Roman" w:eastAsia="仿宋_GB2312" w:hAnsi="Times New Roman" w:cs="Times New Roman"/>
          <w:color w:val="080808"/>
          <w:kern w:val="0"/>
          <w:sz w:val="28"/>
          <w:szCs w:val="28"/>
          <w:lang w:val="zh-CN"/>
        </w:rPr>
        <w:t>“</w:t>
      </w:r>
      <w:bookmarkStart w:id="3" w:name="OLE_LINK140"/>
      <w:bookmarkStart w:id="4" w:name="OLE_LINK141"/>
      <w:r w:rsidRPr="00F51103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中国科学院水库水环境重点实验室</w:t>
      </w:r>
      <w:bookmarkEnd w:id="3"/>
      <w:bookmarkEnd w:id="4"/>
      <w:r w:rsidRPr="00F51103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开放研究基金资助</w:t>
      </w:r>
      <w:r w:rsidR="00CB5252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课题</w:t>
      </w:r>
      <w:r w:rsidRPr="00F51103">
        <w:rPr>
          <w:rFonts w:ascii="Times New Roman" w:eastAsia="仿宋_GB2312" w:hAnsi="Times New Roman" w:cs="Times New Roman"/>
          <w:color w:val="080808"/>
          <w:kern w:val="0"/>
          <w:sz w:val="28"/>
          <w:szCs w:val="28"/>
          <w:lang w:val="zh-CN"/>
        </w:rPr>
        <w:t>”</w:t>
      </w:r>
      <w:r w:rsidRPr="00F51103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及</w:t>
      </w:r>
      <w:r w:rsidR="00CB5252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课题</w:t>
      </w:r>
      <w:r w:rsidRPr="00F51103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编号，英文标注</w:t>
      </w:r>
      <w:r w:rsidRPr="00F51103">
        <w:rPr>
          <w:rFonts w:ascii="Times New Roman" w:eastAsia="仿宋_GB2312" w:hAnsi="Times New Roman" w:cs="Times New Roman"/>
          <w:color w:val="080808"/>
          <w:kern w:val="0"/>
          <w:sz w:val="28"/>
          <w:szCs w:val="28"/>
          <w:lang w:val="zh-CN"/>
        </w:rPr>
        <w:t xml:space="preserve">“This research was financially supported by Key Laboratory of Reservoir </w:t>
      </w:r>
      <w:r w:rsidR="00D50023">
        <w:rPr>
          <w:rFonts w:ascii="Times New Roman" w:eastAsia="仿宋_GB2312" w:hAnsi="Times New Roman" w:cs="Times New Roman" w:hint="eastAsia"/>
          <w:color w:val="080808"/>
          <w:kern w:val="0"/>
          <w:sz w:val="28"/>
          <w:szCs w:val="28"/>
          <w:lang w:val="zh-CN"/>
        </w:rPr>
        <w:t>Aquatic Environment</w:t>
      </w:r>
      <w:r w:rsidRPr="00F51103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，</w:t>
      </w:r>
      <w:r w:rsidRPr="00F51103">
        <w:rPr>
          <w:rFonts w:ascii="Times New Roman" w:eastAsia="仿宋_GB2312" w:hAnsi="Times New Roman" w:cs="Times New Roman"/>
          <w:color w:val="080808"/>
          <w:kern w:val="0"/>
          <w:sz w:val="28"/>
          <w:szCs w:val="28"/>
          <w:lang w:val="zh-CN"/>
        </w:rPr>
        <w:t xml:space="preserve">Chongqing Institute of Green and Intelligent Technology, Chinese Academy of Science(Grant </w:t>
      </w:r>
      <w:r w:rsidRPr="00F51103">
        <w:rPr>
          <w:rFonts w:ascii="Times New Roman" w:eastAsia="仿宋_GB2312" w:hAnsi="Times New Roman" w:cs="Times New Roman"/>
          <w:color w:val="080808"/>
          <w:kern w:val="0"/>
          <w:sz w:val="28"/>
          <w:szCs w:val="28"/>
          <w:lang w:val="zh-CN"/>
        </w:rPr>
        <w:lastRenderedPageBreak/>
        <w:t>NO.--)”</w:t>
      </w:r>
      <w:r w:rsidRPr="00F51103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，未标注的，验收时不计入成果。自带</w:t>
      </w:r>
      <w:r w:rsidR="00CB5252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课题</w:t>
      </w:r>
      <w:r w:rsidRPr="00F51103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和经费在本实验室工作取得的成果获发表论文需注明</w:t>
      </w:r>
      <w:r w:rsidRPr="00F51103">
        <w:rPr>
          <w:rFonts w:ascii="Times New Roman" w:eastAsia="仿宋_GB2312" w:hAnsi="Times New Roman" w:cs="Times New Roman"/>
          <w:color w:val="080808"/>
          <w:kern w:val="0"/>
          <w:sz w:val="28"/>
          <w:szCs w:val="28"/>
          <w:lang w:val="zh-CN"/>
        </w:rPr>
        <w:t>“</w:t>
      </w:r>
      <w:r w:rsidRPr="00F51103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在中国科学院水库水环境重点实验室完成</w:t>
      </w:r>
      <w:r w:rsidRPr="00F51103">
        <w:rPr>
          <w:rFonts w:ascii="Times New Roman" w:eastAsia="仿宋_GB2312" w:hAnsi="Times New Roman" w:cs="Times New Roman"/>
          <w:color w:val="080808"/>
          <w:kern w:val="0"/>
          <w:sz w:val="28"/>
          <w:szCs w:val="28"/>
          <w:lang w:val="zh-CN"/>
        </w:rPr>
        <w:t>”</w:t>
      </w:r>
      <w:r w:rsidRPr="00F51103">
        <w:rPr>
          <w:rFonts w:ascii="Times New Roman" w:eastAsia="仿宋_GB2312" w:cs="Times New Roman"/>
          <w:color w:val="080808"/>
          <w:kern w:val="0"/>
          <w:sz w:val="28"/>
          <w:szCs w:val="28"/>
          <w:lang w:val="zh-CN"/>
        </w:rPr>
        <w:t>。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2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、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结束后，三个月内向实验室报送《开放研究基金资助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总结报告》，学术论文复印件及有关的软件和硬件原始资料。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3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、基金资助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结题后，实验室将对优秀研究成果提请主管部门进行通讯评议或技术鉴定，颁发“优秀成果证书”。实验室将优先资助曾取得优秀成果的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申请者。</w:t>
      </w:r>
    </w:p>
    <w:p w:rsidR="00294E9B" w:rsidRPr="001002DB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4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、基金资助</w:t>
      </w:r>
      <w:r w:rsidR="00CB5252">
        <w:rPr>
          <w:rFonts w:eastAsia="仿宋_GB2312" w:hint="eastAsia"/>
          <w:color w:val="080808"/>
          <w:kern w:val="0"/>
          <w:sz w:val="28"/>
          <w:szCs w:val="28"/>
          <w:lang w:val="zh-CN"/>
        </w:rPr>
        <w:t>课题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所取得的成果（包括收集到的资料、研究报告、相应软件等）归研究者和本实验室共有，成果使用按国家相关政策规定办理。</w:t>
      </w:r>
    </w:p>
    <w:p w:rsidR="00566673" w:rsidRDefault="00294E9B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5</w:t>
      </w: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、本管理办法经实验室学术委员会讨论通过，并经中国科学院重庆绿色智能技术研究院审核同意后实施。由</w:t>
      </w:r>
      <w:bookmarkStart w:id="5" w:name="OLE_LINK52"/>
      <w:bookmarkStart w:id="6" w:name="OLE_LINK53"/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中国科学院水库水环境重点实验室</w:t>
      </w:r>
      <w:bookmarkEnd w:id="5"/>
      <w:bookmarkEnd w:id="6"/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负责解释。</w:t>
      </w:r>
    </w:p>
    <w:p w:rsidR="00D50023" w:rsidRDefault="00D50023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</w:p>
    <w:p w:rsidR="00D50023" w:rsidRDefault="00D50023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</w:p>
    <w:p w:rsidR="00D50023" w:rsidRDefault="00D50023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</w:p>
    <w:p w:rsidR="00D50023" w:rsidRDefault="00D50023" w:rsidP="00294E9B">
      <w:pPr>
        <w:adjustRightInd w:val="0"/>
        <w:snapToGrid w:val="0"/>
        <w:spacing w:line="360" w:lineRule="auto"/>
        <w:ind w:firstLineChars="200" w:firstLine="560"/>
        <w:rPr>
          <w:rFonts w:eastAsia="仿宋_GB2312"/>
          <w:color w:val="080808"/>
          <w:kern w:val="0"/>
          <w:sz w:val="28"/>
          <w:szCs w:val="28"/>
          <w:lang w:val="zh-CN"/>
        </w:rPr>
      </w:pPr>
    </w:p>
    <w:p w:rsidR="00D50023" w:rsidRDefault="002B7B0F" w:rsidP="002B7B0F">
      <w:pPr>
        <w:adjustRightInd w:val="0"/>
        <w:snapToGrid w:val="0"/>
        <w:spacing w:line="360" w:lineRule="auto"/>
        <w:ind w:firstLineChars="200" w:firstLine="560"/>
        <w:jc w:val="right"/>
        <w:rPr>
          <w:rFonts w:eastAsia="仿宋_GB2312"/>
          <w:color w:val="080808"/>
          <w:kern w:val="0"/>
          <w:sz w:val="28"/>
          <w:szCs w:val="28"/>
          <w:lang w:val="zh-CN"/>
        </w:rPr>
      </w:pPr>
      <w:r w:rsidRPr="001002DB">
        <w:rPr>
          <w:rFonts w:eastAsia="仿宋_GB2312" w:hint="eastAsia"/>
          <w:color w:val="080808"/>
          <w:kern w:val="0"/>
          <w:sz w:val="28"/>
          <w:szCs w:val="28"/>
          <w:lang w:val="zh-CN"/>
        </w:rPr>
        <w:t>中国科学院水库水环境重点实验室</w:t>
      </w:r>
    </w:p>
    <w:p w:rsidR="00D50023" w:rsidRPr="00294E9B" w:rsidRDefault="00D50023" w:rsidP="00D50023">
      <w:pPr>
        <w:adjustRightInd w:val="0"/>
        <w:snapToGrid w:val="0"/>
        <w:spacing w:line="360" w:lineRule="auto"/>
        <w:ind w:firstLineChars="200" w:firstLine="560"/>
        <w:jc w:val="right"/>
        <w:rPr>
          <w:rFonts w:eastAsia="仿宋_GB2312"/>
          <w:color w:val="080808"/>
          <w:kern w:val="0"/>
          <w:sz w:val="28"/>
          <w:szCs w:val="28"/>
          <w:lang w:val="zh-CN"/>
        </w:rPr>
      </w:pP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2013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年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11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月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4</w:t>
      </w:r>
      <w:r>
        <w:rPr>
          <w:rFonts w:eastAsia="仿宋_GB2312" w:hint="eastAsia"/>
          <w:color w:val="080808"/>
          <w:kern w:val="0"/>
          <w:sz w:val="28"/>
          <w:szCs w:val="28"/>
          <w:lang w:val="zh-CN"/>
        </w:rPr>
        <w:t>日</w:t>
      </w:r>
    </w:p>
    <w:sectPr w:rsidR="00D50023" w:rsidRPr="00294E9B" w:rsidSect="0056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0DE" w:rsidRDefault="002A50DE" w:rsidP="00A34CDE">
      <w:r>
        <w:separator/>
      </w:r>
    </w:p>
  </w:endnote>
  <w:endnote w:type="continuationSeparator" w:id="1">
    <w:p w:rsidR="002A50DE" w:rsidRDefault="002A50DE" w:rsidP="00A34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0DE" w:rsidRDefault="002A50DE" w:rsidP="00A34CDE">
      <w:r>
        <w:separator/>
      </w:r>
    </w:p>
  </w:footnote>
  <w:footnote w:type="continuationSeparator" w:id="1">
    <w:p w:rsidR="002A50DE" w:rsidRDefault="002A50DE" w:rsidP="00A34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E9B"/>
    <w:rsid w:val="00281794"/>
    <w:rsid w:val="00294E9B"/>
    <w:rsid w:val="002A50DE"/>
    <w:rsid w:val="002B7B0F"/>
    <w:rsid w:val="00566673"/>
    <w:rsid w:val="006C49AF"/>
    <w:rsid w:val="008F13F4"/>
    <w:rsid w:val="00A34CDE"/>
    <w:rsid w:val="00C91839"/>
    <w:rsid w:val="00CB5252"/>
    <w:rsid w:val="00D30739"/>
    <w:rsid w:val="00D50023"/>
    <w:rsid w:val="00F5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294E9B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3"/>
    <w:uiPriority w:val="99"/>
    <w:rsid w:val="00294E9B"/>
    <w:rPr>
      <w:rFonts w:ascii="宋体" w:eastAsia="宋体" w:hAnsi="Courier New" w:cs="Times New Roman"/>
      <w:szCs w:val="21"/>
    </w:rPr>
  </w:style>
  <w:style w:type="paragraph" w:styleId="a4">
    <w:name w:val="Document Map"/>
    <w:basedOn w:val="a"/>
    <w:link w:val="Char0"/>
    <w:uiPriority w:val="99"/>
    <w:semiHidden/>
    <w:unhideWhenUsed/>
    <w:rsid w:val="00294E9B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294E9B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34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34CDE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A34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A34C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259</Words>
  <Characters>1478</Characters>
  <Application>Microsoft Office Word</Application>
  <DocSecurity>0</DocSecurity>
  <Lines>12</Lines>
  <Paragraphs>3</Paragraphs>
  <ScaleCrop>false</ScaleCrop>
  <Company>IBM ThinkPad/CC8000.COM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郭劲松</dc:creator>
  <cp:keywords/>
  <dc:description/>
  <cp:lastModifiedBy>张雷</cp:lastModifiedBy>
  <cp:revision>8</cp:revision>
  <dcterms:created xsi:type="dcterms:W3CDTF">2013-11-03T12:55:00Z</dcterms:created>
  <dcterms:modified xsi:type="dcterms:W3CDTF">2013-11-05T03:35:00Z</dcterms:modified>
</cp:coreProperties>
</file>